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8647"/>
        <w:jc w:val="right"/>
        <w:spacing w:after="0" w:line="240" w:lineRule="auto"/>
      </w:pPr>
      <w:r/>
      <w:bookmarkStart w:id="0" w:name="_GoBack"/>
      <w:r/>
      <w:bookmarkEnd w:id="0"/>
      <w:r>
        <w:rPr>
          <w:rFonts w:ascii="Times New Roman" w:hAnsi="Times New Roman" w:cs="Times New Roman"/>
        </w:rPr>
        <w:t xml:space="preserve">УТВЕРЖДАЮ</w:t>
      </w:r>
      <w:r/>
    </w:p>
    <w:p>
      <w:pPr>
        <w:ind w:left="8647"/>
        <w:jc w:val="right"/>
        <w:spacing w:before="120" w:after="0" w:line="240" w:lineRule="auto"/>
      </w:pPr>
      <w:r>
        <w:rPr>
          <w:rFonts w:ascii="Times New Roman" w:hAnsi="Times New Roman" w:cs="Times New Roman"/>
        </w:rPr>
        <w:t xml:space="preserve">Директор </w:t>
      </w:r>
      <w:r>
        <w:rPr>
          <w:rFonts w:ascii="Times New Roman" w:hAnsi="Times New Roman" w:cs="Times New Roman"/>
        </w:rPr>
        <w:t xml:space="preserve">Департамета культуры</w:t>
      </w:r>
      <w:r/>
    </w:p>
    <w:p>
      <w:pPr>
        <w:ind w:left="8647"/>
        <w:jc w:val="right"/>
        <w:spacing w:before="120" w:after="0" w:line="240" w:lineRule="auto"/>
      </w:pPr>
      <w:r>
        <w:rPr>
          <w:rFonts w:ascii="Times New Roman" w:hAnsi="Times New Roman" w:cs="Times New Roman"/>
        </w:rPr>
        <w:t xml:space="preserve">Ханты-Мансийского автономного</w:t>
      </w:r>
      <w:r/>
    </w:p>
    <w:p>
      <w:pPr>
        <w:ind w:left="8647"/>
        <w:jc w:val="right"/>
        <w:spacing w:before="120" w:after="0" w:line="240" w:lineRule="auto"/>
      </w:pPr>
      <w:r>
        <w:rPr>
          <w:rFonts w:ascii="Times New Roman" w:hAnsi="Times New Roman" w:cs="Times New Roman"/>
        </w:rPr>
        <w:t xml:space="preserve">округа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–</w:t>
      </w:r>
      <w:r>
        <w:rPr>
          <w:rFonts w:ascii="Times New Roman" w:hAnsi="Times New Roman" w:cs="Times New Roman"/>
        </w:rPr>
        <w:t xml:space="preserve"> Югры</w:t>
      </w:r>
      <w:r/>
    </w:p>
    <w:p>
      <w:pPr>
        <w:ind w:left="8647"/>
        <w:jc w:val="right"/>
        <w:spacing w:before="120" w:after="0" w:line="240" w:lineRule="auto"/>
      </w:pPr>
      <w:r>
        <w:rPr>
          <w:rFonts w:ascii="Times New Roman" w:hAnsi="Times New Roman" w:cs="Times New Roman"/>
        </w:rPr>
        <w:t xml:space="preserve">_________________________М.С. Козлова</w:t>
      </w:r>
      <w:r/>
    </w:p>
    <w:p>
      <w:pPr>
        <w:ind w:left="8647"/>
        <w:jc w:val="right"/>
        <w:spacing w:before="6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«_______»__________________20______г.</w:t>
      </w:r>
      <w:r>
        <w:rPr>
          <w:rFonts w:ascii="Times New Roman" w:hAnsi="Times New Roman" w:cs="Times New Roman"/>
        </w:rPr>
      </w:r>
      <w:r/>
    </w:p>
    <w:p>
      <w:pPr>
        <w:ind w:left="8647"/>
        <w:jc w:val="center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ПЛАН</w:t>
      </w:r>
      <w:r/>
    </w:p>
    <w:p>
      <w:pPr>
        <w:ind w:left="3402" w:right="3402"/>
        <w:jc w:val="center"/>
        <w:spacing w:after="6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устранению недостатков, выявленных в ходе независимой оценки качества</w:t>
      </w:r>
      <w:r>
        <w:rPr>
          <w:rFonts w:ascii="Times New Roman" w:hAnsi="Times New Roman" w:cs="Times New Roman"/>
        </w:rPr>
        <w:br/>
        <w:t xml:space="preserve">условий </w:t>
      </w:r>
      <w:r>
        <w:rPr>
          <w:rFonts w:ascii="Times New Roman" w:hAnsi="Times New Roman" w:cs="Times New Roman"/>
        </w:rPr>
        <w:t xml:space="preserve">оказания услуг </w:t>
      </w:r>
      <w:r>
        <w:rPr>
          <w:rFonts w:ascii="Times New Roman" w:hAnsi="Times New Roman" w:cs="Times New Roman"/>
        </w:rPr>
        <w:t xml:space="preserve">учреждени</w:t>
      </w:r>
      <w:r>
        <w:rPr>
          <w:rFonts w:ascii="Times New Roman" w:hAnsi="Times New Roman" w:cs="Times New Roman"/>
        </w:rPr>
        <w:t xml:space="preserve">ем</w:t>
      </w:r>
      <w:r>
        <w:rPr>
          <w:rFonts w:ascii="Times New Roman" w:hAnsi="Times New Roman" w:cs="Times New Roman"/>
        </w:rPr>
        <w:t xml:space="preserve"> культуры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u w:val="single"/>
        </w:rPr>
        <w:t xml:space="preserve">Муниципальное бюджетное учреждение Культурно-спортивный комплекс «Импульс»</w:t>
      </w:r>
      <w:r>
        <w:rPr>
          <w:rFonts w:ascii="Times New Roman" w:hAnsi="Times New Roman" w:cs="Times New Roman"/>
          <w:u w:val="single"/>
        </w:rPr>
        <w:br/>
      </w:r>
      <w:r>
        <w:rPr>
          <w:rFonts w:ascii="Times New Roman" w:hAnsi="Times New Roman" w:cs="Times New Roman"/>
        </w:rPr>
        <w:t xml:space="preserve">на 2024 год</w:t>
      </w:r>
      <w:r/>
    </w:p>
    <w:tbl>
      <w:tblPr>
        <w:tblStyle w:val="817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139"/>
        <w:gridCol w:w="4139"/>
        <w:gridCol w:w="1474"/>
        <w:gridCol w:w="1701"/>
        <w:gridCol w:w="2154"/>
        <w:gridCol w:w="1587"/>
      </w:tblGrid>
      <w:tr>
        <w:trPr>
          <w:trHeight w:val="20"/>
          <w:tblHeader/>
        </w:trPr>
        <w:tc>
          <w:tcPr>
            <w:tcW w:w="421" w:type="dxa"/>
            <w:vAlign w:val="center"/>
            <w:vMerge w:val="restart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№ п/п</w:t>
            </w:r>
            <w:r/>
          </w:p>
        </w:tc>
        <w:tc>
          <w:tcPr>
            <w:tcW w:w="4139" w:type="dxa"/>
            <w:vAlign w:val="center"/>
            <w:vMerge w:val="restart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Недостатки, выявленные в ходе независимой оценки качества условий </w:t>
            </w:r>
            <w:r>
              <w:rPr>
                <w:rFonts w:ascii="Times New Roman" w:hAnsi="Times New Roman" w:cs="Times New Roman"/>
                <w:b/>
              </w:rPr>
              <w:t xml:space="preserve">учреждения культуры</w:t>
            </w:r>
            <w:r/>
          </w:p>
        </w:tc>
        <w:tc>
          <w:tcPr>
            <w:tcW w:w="4139" w:type="dxa"/>
            <w:vAlign w:val="center"/>
            <w:vMerge w:val="restart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Наименование мероприятия по устранению недостатков, выявленных в ходе независимой оценки качества условий </w:t>
            </w:r>
            <w:r>
              <w:rPr>
                <w:rFonts w:ascii="Times New Roman" w:hAnsi="Times New Roman" w:cs="Times New Roman"/>
                <w:b/>
              </w:rPr>
              <w:t xml:space="preserve">учреждени</w:t>
            </w:r>
            <w:r>
              <w:rPr>
                <w:rFonts w:ascii="Times New Roman" w:hAnsi="Times New Roman" w:cs="Times New Roman"/>
                <w:b/>
              </w:rPr>
              <w:t xml:space="preserve">я</w:t>
            </w:r>
            <w:r>
              <w:rPr>
                <w:rFonts w:ascii="Times New Roman" w:hAnsi="Times New Roman" w:cs="Times New Roman"/>
                <w:b/>
              </w:rPr>
              <w:t xml:space="preserve"> культуры</w:t>
            </w:r>
            <w:r/>
          </w:p>
        </w:tc>
        <w:tc>
          <w:tcPr>
            <w:tcW w:w="1474" w:type="dxa"/>
            <w:vAlign w:val="center"/>
            <w:vMerge w:val="restart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Плановый срок реализации мероприятия</w:t>
            </w:r>
            <w:r/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Ответственный исполнитель (с</w:t>
            </w:r>
            <w:r>
              <w:rPr>
                <w:rFonts w:ascii="Times New Roman" w:hAnsi="Times New Roman" w:cs="Times New Roman"/>
                <w:b/>
              </w:rPr>
              <w:t xml:space="preserve"> </w:t>
            </w:r>
            <w:r>
              <w:rPr>
                <w:rFonts w:ascii="Times New Roman" w:hAnsi="Times New Roman" w:cs="Times New Roman"/>
                <w:b/>
              </w:rPr>
              <w:t xml:space="preserve">указанием фамилии, имени, отчества и должности)</w:t>
            </w:r>
            <w:r/>
          </w:p>
        </w:tc>
        <w:tc>
          <w:tcPr>
            <w:gridSpan w:val="2"/>
            <w:tcW w:w="3741" w:type="dxa"/>
            <w:vAlign w:val="center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Сведения о ходе реализации мероприятия</w:t>
            </w:r>
            <w:r/>
          </w:p>
        </w:tc>
      </w:tr>
      <w:tr>
        <w:trPr>
          <w:trHeight w:val="20"/>
          <w:tblHeader/>
        </w:trPr>
        <w:tc>
          <w:tcPr>
            <w:tcW w:w="421" w:type="dxa"/>
            <w:vAlign w:val="center"/>
            <w:vMerge w:val="continue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/>
          </w:p>
        </w:tc>
        <w:tc>
          <w:tcPr>
            <w:tcW w:w="4139" w:type="dxa"/>
            <w:vAlign w:val="center"/>
            <w:vMerge w:val="continue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/>
          </w:p>
        </w:tc>
        <w:tc>
          <w:tcPr>
            <w:tcW w:w="4139" w:type="dxa"/>
            <w:vAlign w:val="center"/>
            <w:vMerge w:val="continue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/>
          </w:p>
        </w:tc>
        <w:tc>
          <w:tcPr>
            <w:tcW w:w="1474" w:type="dxa"/>
            <w:vAlign w:val="center"/>
            <w:vMerge w:val="continue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/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/>
          </w:p>
        </w:tc>
        <w:tc>
          <w:tcPr>
            <w:tcW w:w="2154" w:type="dxa"/>
            <w:vAlign w:val="center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Реализованные меры по</w:t>
            </w:r>
            <w:r>
              <w:rPr>
                <w:rFonts w:ascii="Times New Roman" w:hAnsi="Times New Roman" w:cs="Times New Roman"/>
                <w:b/>
              </w:rPr>
              <w:t xml:space="preserve"> </w:t>
            </w:r>
            <w:r>
              <w:rPr>
                <w:rFonts w:ascii="Times New Roman" w:hAnsi="Times New Roman" w:cs="Times New Roman"/>
                <w:b/>
              </w:rPr>
              <w:t xml:space="preserve">устранению выявленных недостатков</w:t>
            </w:r>
            <w:r/>
          </w:p>
        </w:tc>
        <w:tc>
          <w:tcPr>
            <w:tcW w:w="1587" w:type="dxa"/>
            <w:vAlign w:val="center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Фактический срок реализации</w:t>
            </w:r>
            <w:r/>
          </w:p>
        </w:tc>
      </w:tr>
      <w:tr>
        <w:trPr>
          <w:trHeight w:val="20"/>
        </w:trPr>
        <w:tc>
          <w:tcPr>
            <w:gridSpan w:val="7"/>
            <w:tcW w:w="15615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I. Открытость и доступность информации об учреждении культуры</w:t>
            </w:r>
            <w:r/>
          </w:p>
        </w:tc>
      </w:tr>
      <w:tr>
        <w:trPr>
          <w:trHeight w:val="20"/>
        </w:trPr>
        <w:tc>
          <w:tcPr>
            <w:tcW w:w="42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ходе сбора, обобщения</w:t>
            </w:r>
            <w:r>
              <w:rPr>
                <w:rFonts w:ascii="Times New Roman" w:hAnsi="Times New Roman" w:cs="Times New Roman"/>
              </w:rPr>
              <w:t xml:space="preserve"> и анализа информации выявлено несоответствие информации о деятельности организации культуры, размещенной на информационных стендах в помещении организации культуры, ее содержанию и порядку (форме), установленным нормативными правовыми актами, в частности:</w:t>
            </w:r>
            <w:r>
              <w:rPr>
                <w:rFonts w:ascii="Times New Roman" w:hAnsi="Times New Roman" w:cs="Times New Roman"/>
              </w:rPr>
              <w:br/>
              <w:t xml:space="preserve">- о результатах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устранения выявленных недостатков необходимо разместить на информационных стендах в помещении организации культуры и привести в соответствие информацию о деятельности организации, в частности:</w:t>
            </w:r>
            <w:r>
              <w:rPr>
                <w:rFonts w:ascii="Times New Roman" w:hAnsi="Times New Roman" w:cs="Times New Roman"/>
              </w:rPr>
              <w:br/>
              <w:t xml:space="preserve">- о результатах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  <w:r/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1_1297"/>
              <w:rPr>
                <w:lang w:val="en-US"/>
              </w:rPr>
            </w:pPr>
            <w:r>
              <w:rPr>
                <w:lang w:val="en-US"/>
              </w:rPr>
              <w:t xml:space="preserve">IV</w:t>
            </w:r>
            <w:r>
              <w:t xml:space="preserve"> квартал 2024 года </w:t>
            </w:r>
            <w:r>
              <w:rPr>
                <w:lang w:val="en-US"/>
              </w:rPr>
            </w:r>
            <w:r/>
          </w:p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2154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587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>
          <w:trHeight w:val="20"/>
        </w:trPr>
        <w:tc>
          <w:tcPr>
            <w:tcW w:w="42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ходе сбора, обобщения и анализа информации выявлено несоответствие информации о деятельности организации культуры, размещенной на официальном сайте организации культуры в сети </w:t>
            </w:r>
            <w:r>
              <w:rPr>
                <w:rFonts w:ascii="Times New Roman" w:hAnsi="Times New Roman" w:cs="Times New Roman"/>
              </w:rPr>
              <w:t xml:space="preserve">"Интернет"</w:t>
            </w:r>
            <w:r>
              <w:rPr>
                <w:rFonts w:ascii="Times New Roman" w:hAnsi="Times New Roman" w:cs="Times New Roman"/>
              </w:rPr>
              <w:t xml:space="preserve">, ее содержанию и порядку (форме) ее предоставления, установленному требованиям приказа Министерства культуры Российской Федерации от 20 февраля 2015 г. № 277 "Об утверждении требований к содержанию и форме предоставления информации о деятельности организа</w:t>
            </w:r>
            <w:r>
              <w:rPr>
                <w:rFonts w:ascii="Times New Roman" w:hAnsi="Times New Roman" w:cs="Times New Roman"/>
              </w:rPr>
              <w:t xml:space="preserve">ций культуры, размещенной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"Интернет", в частности:</w:t>
            </w:r>
            <w:r>
              <w:rPr>
                <w:rFonts w:ascii="Times New Roman" w:hAnsi="Times New Roman" w:cs="Times New Roman"/>
              </w:rPr>
              <w:br/>
              <w:t xml:space="preserve">- перечень оказываемых платных услуг, цены (тарифы) на услуги</w:t>
            </w:r>
            <w:r>
              <w:rPr>
                <w:rFonts w:ascii="Times New Roman" w:hAnsi="Times New Roman" w:cs="Times New Roman"/>
              </w:rPr>
              <w:br/>
              <w:t xml:space="preserve">- копии документов о порядке предоставления услуг за плату, нормативных правовых актов, устанавливающих цены (тарифы) на услуги</w:t>
            </w:r>
            <w:r>
              <w:rPr>
                <w:rFonts w:ascii="Times New Roman" w:hAnsi="Times New Roman" w:cs="Times New Roman"/>
              </w:rPr>
              <w:br/>
              <w:t xml:space="preserve">- материально-техническое обеспечение предоставления услуг</w:t>
            </w:r>
            <w:r>
              <w:rPr>
                <w:rFonts w:ascii="Times New Roman" w:hAnsi="Times New Roman" w:cs="Times New Roman"/>
              </w:rPr>
              <w:br/>
              <w:t xml:space="preserve">- копия плана финансово-хозяйственной деятельности, утвержденного в установленном законодательством Российской Федерации порядке, или бюджетная смета (информация об объёме предоставляемых услуг)</w:t>
            </w:r>
            <w:r>
              <w:rPr>
                <w:rFonts w:ascii="Times New Roman" w:hAnsi="Times New Roman" w:cs="Times New Roman"/>
              </w:rPr>
              <w:br/>
              <w:t xml:space="preserve">- результаты независимой оценки качества условий оказания услуг</w:t>
            </w:r>
            <w:r>
              <w:rPr>
                <w:rFonts w:ascii="Times New Roman" w:hAnsi="Times New Roman" w:cs="Times New Roman"/>
              </w:rPr>
              <w:br/>
              <w:t xml:space="preserve">- планы по улучшению качества работы организации культуры (по устранению недостатков, выявленных по итогам НОК)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устранения выявленных недостатков необходимо разместить на официальном сайте организации в сети "Интернет" и привести в соответствие информацию о деятельности организации, в частности: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- перечень оказываемых платных услуг, цены (тарифы) на услуги</w:t>
            </w:r>
            <w:r>
              <w:rPr>
                <w:rFonts w:ascii="Times New Roman" w:hAnsi="Times New Roman" w:cs="Times New Roman"/>
              </w:rPr>
              <w:br/>
              <w:t xml:space="preserve">- копии документов о порядке предоставления услуг за плату, нормативных правовых актов, устанавливающих цены (тарифы) на услуги</w:t>
            </w:r>
            <w:r>
              <w:rPr>
                <w:rFonts w:ascii="Times New Roman" w:hAnsi="Times New Roman" w:cs="Times New Roman"/>
              </w:rPr>
              <w:br/>
              <w:t xml:space="preserve">- материально-техническое обеспечение предоставления услуг</w:t>
            </w:r>
            <w:r>
              <w:rPr>
                <w:rFonts w:ascii="Times New Roman" w:hAnsi="Times New Roman" w:cs="Times New Roman"/>
              </w:rPr>
              <w:br/>
              <w:t xml:space="preserve">- копия плана финансово-хозяйственной деятельности, утвержденного в установленном законодательством Российской Федерации порядке, или бюджетная смета (информация об объёме предоставляемых услуг)</w:t>
            </w:r>
            <w:r>
              <w:rPr>
                <w:rFonts w:ascii="Times New Roman" w:hAnsi="Times New Roman" w:cs="Times New Roman"/>
              </w:rPr>
              <w:br/>
              <w:t xml:space="preserve">- результаты независимой оценки качества условий оказания услуг</w:t>
            </w:r>
            <w:r>
              <w:rPr>
                <w:rFonts w:ascii="Times New Roman" w:hAnsi="Times New Roman" w:cs="Times New Roman"/>
              </w:rPr>
              <w:br/>
              <w:t xml:space="preserve">- планы по улучшению качества работы организации культуры (по устранению недостатков, выявленных по итогам НОК)</w:t>
            </w:r>
            <w:r/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1_1297"/>
              <w:rPr>
                <w:lang w:val="en-US"/>
              </w:rPr>
            </w:pPr>
            <w:r>
              <w:rPr>
                <w:lang w:val="en-US"/>
              </w:rPr>
              <w:t xml:space="preserve">IV</w:t>
            </w:r>
            <w:r>
              <w:t xml:space="preserve"> квартал 2024 года </w:t>
            </w:r>
            <w:r>
              <w:rPr>
                <w:lang w:val="en-US"/>
              </w:rPr>
            </w:r>
            <w:r/>
          </w:p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2154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587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>
          <w:trHeight w:val="20"/>
        </w:trPr>
        <w:tc>
          <w:tcPr>
            <w:tcW w:w="42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 официальном сайте организации культуры отсутствует информация о дистанционных способах взаимодействия с получателями услуг и их функционирование, в частности:</w:t>
            </w:r>
            <w:r>
              <w:rPr>
                <w:rFonts w:ascii="Times New Roman" w:hAnsi="Times New Roman" w:cs="Times New Roman"/>
              </w:rPr>
              <w:br/>
              <w:t xml:space="preserve">- технической возможности выражения получателем услуг мнения о качестве оказания услуг организацией культуры (наличие анкеты для опроса граждан или гиперссылки на нее)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Необходимо обеспечить функционирование следующей информации о дистанционных способах взаимодействия с получателями услуг:</w:t>
            </w:r>
            <w:r>
              <w:rPr>
                <w:rFonts w:ascii="Times New Roman" w:hAnsi="Times New Roman" w:cs="Times New Roman"/>
              </w:rPr>
              <w:br/>
              <w:t xml:space="preserve">- технической возможности выражения получателем услуг мнения о качестве оказания услуг организацией культуры (наличие анкеты для опроса граждан или гиперссылки на нее)</w:t>
            </w:r>
            <w:r/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1_1297"/>
              <w:rPr>
                <w:lang w:val="en-US"/>
              </w:rPr>
            </w:pPr>
            <w:r>
              <w:rPr>
                <w:lang w:val="en-US"/>
              </w:rPr>
              <w:t xml:space="preserve">IV</w:t>
            </w:r>
            <w:r>
              <w:t xml:space="preserve"> квартал 2024 года </w:t>
            </w:r>
            <w:r>
              <w:rPr>
                <w:lang w:val="en-US"/>
              </w:rPr>
            </w:r>
            <w:r/>
          </w:p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2154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587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>
          <w:trHeight w:val="20"/>
        </w:trPr>
        <w:tc>
          <w:tcPr>
            <w:tcW w:w="42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Удовлетворенность качеством, полнотой и доступностью информации о деятельности организации культуры, размещенной на информационных стендах в помещении организации культуры, составила менее 100% (99%)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Сохранять и повышать текущий уровень удовлетворённости качеством, полнотой и доступностью информации о деятельности организации культуры</w:t>
            </w:r>
            <w:r/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1_1297"/>
              <w:rPr>
                <w:lang w:val="en-US"/>
              </w:rPr>
            </w:pPr>
            <w:r>
              <w:rPr>
                <w:lang w:val="en-US"/>
              </w:rPr>
              <w:t xml:space="preserve">IV</w:t>
            </w:r>
            <w:r>
              <w:t xml:space="preserve"> квартал 2024 года </w:t>
            </w:r>
            <w:r>
              <w:rPr>
                <w:lang w:val="en-US"/>
              </w:rPr>
            </w:r>
            <w:r/>
          </w:p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2154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587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>
          <w:trHeight w:val="20"/>
        </w:trPr>
        <w:tc>
          <w:tcPr>
            <w:gridSpan w:val="7"/>
            <w:tcW w:w="15615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II. Комфортность условий, в которых осуществляется деятельность учреждением культуры</w:t>
            </w:r>
            <w:r/>
          </w:p>
        </w:tc>
      </w:tr>
      <w:tr>
        <w:trPr>
          <w:trHeight w:val="20"/>
        </w:trPr>
        <w:tc>
          <w:tcPr>
            <w:tcW w:w="42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Удовлетворенность комфортностью предоставления услуг организацией культуры составила менее 100% (98%)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Сохранять и повышать текущий уровень удовлетворенности комфортностью предоставления услуг организацией культуры</w:t>
            </w:r>
            <w:r/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1_1297"/>
              <w:rPr>
                <w:lang w:val="en-US"/>
              </w:rPr>
            </w:pPr>
            <w:r>
              <w:rPr>
                <w:lang w:val="en-US"/>
              </w:rPr>
              <w:t xml:space="preserve">IV</w:t>
            </w:r>
            <w:r>
              <w:t xml:space="preserve"> квартал 2024 года </w:t>
            </w:r>
            <w:r>
              <w:rPr>
                <w:lang w:val="en-US"/>
              </w:rPr>
            </w:r>
            <w:r/>
          </w:p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2154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587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>
          <w:trHeight w:val="20"/>
        </w:trPr>
        <w:tc>
          <w:tcPr>
            <w:gridSpan w:val="7"/>
            <w:tcW w:w="15615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III. Доступность услуг для инвалидов</w:t>
            </w:r>
            <w:r/>
          </w:p>
        </w:tc>
      </w:tr>
      <w:tr>
        <w:trPr>
          <w:trHeight w:val="20"/>
        </w:trPr>
        <w:tc>
          <w:tcPr>
            <w:tcW w:w="42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ходе обследования выявлено, что помещения организации культуры и прилегающая к ней территория недостаточно оборудованы с учетом доступности для инвалидов, в частности:</w:t>
            </w:r>
            <w:r>
              <w:rPr>
                <w:rFonts w:ascii="Times New Roman" w:hAnsi="Times New Roman" w:cs="Times New Roman"/>
              </w:rPr>
              <w:br/>
              <w:t xml:space="preserve">- сменные кресла-коляски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Необходимо обеспечить следующие условия доступности:</w:t>
            </w:r>
            <w:r>
              <w:rPr>
                <w:rFonts w:ascii="Times New Roman" w:hAnsi="Times New Roman" w:cs="Times New Roman"/>
              </w:rPr>
              <w:br/>
              <w:t xml:space="preserve">- сменные кресла-коляски</w:t>
            </w:r>
            <w:r/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1_1297"/>
              <w:rPr>
                <w:lang w:val="en-US"/>
              </w:rPr>
            </w:pPr>
            <w:r>
              <w:rPr>
                <w:lang w:val="en-US"/>
              </w:rPr>
              <w:t xml:space="preserve">IV</w:t>
            </w:r>
            <w:r>
              <w:t xml:space="preserve"> квартал 2024 года </w:t>
            </w:r>
            <w:r>
              <w:rPr>
                <w:lang w:val="en-US"/>
              </w:rPr>
            </w:r>
            <w:r/>
          </w:p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2154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587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>
          <w:trHeight w:val="20"/>
        </w:trPr>
        <w:tc>
          <w:tcPr>
            <w:tcW w:w="42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организации культуры недостаточно условий доступности, позволяющих инвалидам получать услуги наравне с другими, в частности:</w:t>
            </w:r>
            <w:r>
              <w:rPr>
                <w:rFonts w:ascii="Times New Roman" w:hAnsi="Times New Roman" w:cs="Times New Roman"/>
              </w:rPr>
              <w:br/>
              <w:t xml:space="preserve">- дублирование для инвалидов по слуху и зрению звуковой и зрительной информации</w:t>
            </w:r>
            <w:r>
              <w:rPr>
                <w:rFonts w:ascii="Times New Roman" w:hAnsi="Times New Roman" w:cs="Times New Roman"/>
              </w:rPr>
              <w:br/>
              <w:t xml:space="preserve">- дублирование надписей, знаков и иной </w:t>
            </w:r>
            <w:r>
              <w:rPr>
                <w:rFonts w:ascii="Times New Roman" w:hAnsi="Times New Roman" w:cs="Times New Roman"/>
              </w:rPr>
              <w:t xml:space="preserve">текстовой и графической информации знаками, выполненными рельефно-точечным шрифтом Брайля</w:t>
            </w:r>
            <w:r>
              <w:rPr>
                <w:rFonts w:ascii="Times New Roman" w:hAnsi="Times New Roman" w:cs="Times New Roman"/>
              </w:rPr>
              <w:br/>
              <w:t xml:space="preserve">- возможность предоставления инвалидам по слуху (слуху и зрению) услуг сурдопереводчика (тифлосурдопереводчика)</w:t>
            </w:r>
            <w:r>
              <w:rPr>
                <w:rFonts w:ascii="Times New Roman" w:hAnsi="Times New Roman" w:cs="Times New Roman"/>
              </w:rPr>
              <w:br/>
              <w:t xml:space="preserve">- помощь, оказываемая работниками организации культуры, прошедшими необходимое обучение (инструктирование) по сопровождению инвалидов в помещениях организации культуры и на прилегающей территории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Необходимо обеспечить в организации следующие условия:</w:t>
            </w:r>
            <w:r>
              <w:rPr>
                <w:rFonts w:ascii="Times New Roman" w:hAnsi="Times New Roman" w:cs="Times New Roman"/>
              </w:rPr>
              <w:br/>
              <w:t xml:space="preserve">- дублирование для инвалидов по слуху и зрению звуковой и зрительной информации</w:t>
            </w:r>
            <w:r>
              <w:rPr>
                <w:rFonts w:ascii="Times New Roman" w:hAnsi="Times New Roman" w:cs="Times New Roman"/>
              </w:rPr>
              <w:br/>
              <w:t xml:space="preserve">- дублирование надписей, знаков и иной текстовой и графической информации знаками, выполненными рельефно-</w:t>
            </w:r>
            <w:r>
              <w:rPr>
                <w:rFonts w:ascii="Times New Roman" w:hAnsi="Times New Roman" w:cs="Times New Roman"/>
              </w:rPr>
              <w:t xml:space="preserve">точечным шрифтом Брайля</w:t>
            </w:r>
            <w:r>
              <w:rPr>
                <w:rFonts w:ascii="Times New Roman" w:hAnsi="Times New Roman" w:cs="Times New Roman"/>
              </w:rPr>
              <w:br/>
              <w:t xml:space="preserve">- возможность предоставления инвалидам по слуху (слуху и зрению) услуг сурдопереводчика (тифлосурдопереводчика)</w:t>
            </w:r>
            <w:r>
              <w:rPr>
                <w:rFonts w:ascii="Times New Roman" w:hAnsi="Times New Roman" w:cs="Times New Roman"/>
              </w:rPr>
              <w:br/>
              <w:t xml:space="preserve">- помощь, оказываемая работниками организации культуры, прошедшими необходимое обучение (инструктирование) по сопровождению инвалидов в помещениях организации культуры и на прилегающей территории</w:t>
            </w:r>
            <w:r/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1_1297"/>
              <w:rPr>
                <w:lang w:val="en-US"/>
              </w:rPr>
            </w:pPr>
            <w:r>
              <w:rPr>
                <w:lang w:val="en-US"/>
              </w:rPr>
              <w:t xml:space="preserve">IV</w:t>
            </w:r>
            <w:r>
              <w:t xml:space="preserve"> квартал 2024 года </w:t>
            </w:r>
            <w:r>
              <w:rPr>
                <w:lang w:val="en-US"/>
              </w:rPr>
            </w:r>
            <w:r/>
          </w:p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2154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587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>
          <w:trHeight w:val="20"/>
        </w:trPr>
        <w:tc>
          <w:tcPr>
            <w:tcW w:w="42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Удовлетворенность доступностью услуг для инвалидов составила менее 100% (98%)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Сохранять и повышать текущий уровень удовлетворенности доступностью услуг для инвалидов</w:t>
            </w:r>
            <w:r/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1_1297"/>
              <w:rPr>
                <w:lang w:val="en-US"/>
              </w:rPr>
            </w:pPr>
            <w:r>
              <w:rPr>
                <w:lang w:val="en-US"/>
              </w:rPr>
              <w:t xml:space="preserve">IV</w:t>
            </w:r>
            <w:r>
              <w:t xml:space="preserve"> квартал 2024 года </w:t>
            </w:r>
            <w:r>
              <w:rPr>
                <w:lang w:val="en-US"/>
              </w:rPr>
            </w:r>
            <w:r/>
          </w:p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2154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587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>
          <w:trHeight w:val="20"/>
        </w:trPr>
        <w:tc>
          <w:tcPr>
            <w:gridSpan w:val="7"/>
            <w:tcW w:w="15615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IV. Доброжелательность, вежливость работников организации</w:t>
            </w:r>
            <w:r/>
          </w:p>
        </w:tc>
      </w:tr>
      <w:tr>
        <w:trPr>
          <w:trHeight w:val="20"/>
        </w:trPr>
        <w:tc>
          <w:tcPr>
            <w:tcW w:w="42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Удовлетворенность доброжелательностью, вежливостью работников организации культуры, обеспечивающих первичный контакт и информирование получателя услуги при непосредственном обращении в организацию культуры, составила менее 100% (99%)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Сохранять и повышать текущий уровень удовлетворенности доброжелательностью, вежливостью работников организации культуры, обеспечивающих первичный контакт и информирование получателя услуги при непосредственном обращении в организацию культуры</w:t>
            </w:r>
            <w:r/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1_1297"/>
              <w:rPr>
                <w:lang w:val="en-US"/>
              </w:rPr>
            </w:pPr>
            <w:r>
              <w:rPr>
                <w:lang w:val="en-US"/>
              </w:rPr>
              <w:t xml:space="preserve">IV</w:t>
            </w:r>
            <w:r>
              <w:t xml:space="preserve"> квартал 2024 года </w:t>
            </w:r>
            <w:r>
              <w:rPr>
                <w:lang w:val="en-US"/>
              </w:rPr>
            </w:r>
            <w:r/>
          </w:p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2154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587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>
          <w:trHeight w:val="20"/>
        </w:trPr>
        <w:tc>
          <w:tcPr>
            <w:tcW w:w="42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Удовлетворенность доброжелательностью, вежливостью работников организации культ</w:t>
            </w:r>
            <w:r>
              <w:rPr>
                <w:rFonts w:ascii="Times New Roman" w:hAnsi="Times New Roman" w:cs="Times New Roman"/>
              </w:rPr>
              <w:t xml:space="preserve">уры при использовании дистанционных форм взаимодействия (по телефону, по электронной почте, с помощью электронных сервисов (подачи электронного обращения (жалобы, предложения), получения консультации по оказываемым услугам и пр.) составила менее 100% (99%)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Сохранять и повышать текущий уровень удовлетворенности доброжелательностью, вежливостью р</w:t>
            </w:r>
            <w:r>
              <w:rPr>
                <w:rFonts w:ascii="Times New Roman" w:hAnsi="Times New Roman" w:cs="Times New Roman"/>
              </w:rPr>
              <w:t xml:space="preserve">аботников организации культуры при использовании дистанционных форм взаимодействия (по телефону, по электронной почте, с помощью электронных сервисов (подачи электронного обращения (жалобы, предложения), получения консультации по оказываемым услугам и пр.)</w:t>
            </w:r>
            <w:r/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1_1297"/>
              <w:rPr>
                <w:lang w:val="en-US"/>
              </w:rPr>
            </w:pPr>
            <w:r>
              <w:rPr>
                <w:lang w:val="en-US"/>
              </w:rPr>
              <w:t xml:space="preserve">IV</w:t>
            </w:r>
            <w:r>
              <w:t xml:space="preserve"> квартал 2024 года </w:t>
            </w:r>
            <w:r>
              <w:rPr>
                <w:lang w:val="en-US"/>
              </w:rPr>
            </w:r>
            <w:r/>
          </w:p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2154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587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>
          <w:trHeight w:val="20"/>
        </w:trPr>
        <w:tc>
          <w:tcPr>
            <w:gridSpan w:val="7"/>
            <w:tcW w:w="15615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V. Удовлетворенность условиями деятельности учреждения культуры</w:t>
            </w:r>
            <w:r/>
          </w:p>
        </w:tc>
      </w:tr>
      <w:tr>
        <w:trPr>
          <w:trHeight w:val="20"/>
        </w:trPr>
        <w:tc>
          <w:tcPr>
            <w:tcW w:w="42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Готовность получателей услуг рекомендовать организацию культуры родственникам и знакомым составила менее 100% (99%)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Сохранять и повышать готовность получателей услуг рекомендовать организацию культуры родственникам и знакомым</w:t>
            </w:r>
            <w:r/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1_1297"/>
              <w:rPr>
                <w:lang w:val="en-US"/>
              </w:rPr>
            </w:pPr>
            <w:r>
              <w:rPr>
                <w:lang w:val="en-US"/>
              </w:rPr>
              <w:t xml:space="preserve">IV</w:t>
            </w:r>
            <w:r>
              <w:t xml:space="preserve"> квартал 2024 года </w:t>
            </w:r>
            <w:r>
              <w:rPr>
                <w:lang w:val="en-US"/>
              </w:rPr>
            </w:r>
            <w:r/>
          </w:p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2154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587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>
          <w:trHeight w:val="20"/>
        </w:trPr>
        <w:tc>
          <w:tcPr>
            <w:tcW w:w="42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Удовлетворенность удобством графика работы организации культуры составила менее 100% (99%)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Сохранять и повышать текущий уровень удовлетворенности удобством графика работы организации культуры</w:t>
            </w:r>
            <w:r/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1_1297"/>
              <w:rPr>
                <w:lang w:val="en-US"/>
              </w:rPr>
            </w:pPr>
            <w:r>
              <w:rPr>
                <w:lang w:val="en-US"/>
              </w:rPr>
              <w:t xml:space="preserve">IV</w:t>
            </w:r>
            <w:r>
              <w:t xml:space="preserve"> квартал 2024 года </w:t>
            </w:r>
            <w:r>
              <w:rPr>
                <w:lang w:val="en-US"/>
              </w:rPr>
            </w:r>
            <w:r/>
          </w:p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2154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587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</w:tr>
      <w:tr>
        <w:trPr>
          <w:trHeight w:val="20"/>
        </w:trPr>
        <w:tc>
          <w:tcPr>
            <w:tcW w:w="42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13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Удовлетворенность получателей услуг в целом условиями оказания услуг в организации культуры составила менее 100% (99%)</w:t>
            </w:r>
            <w:r/>
          </w:p>
        </w:tc>
        <w:tc>
          <w:tcPr>
            <w:tcW w:w="4139" w:type="dxa"/>
            <w:textDirection w:val="lrTb"/>
            <w:noWrap w:val="false"/>
          </w:tcPr>
          <w:p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Сохранять и повышать текущий уровень удовлетворенности получателей услуг в целом условиями оказания услуг в организации культуры</w:t>
            </w:r>
            <w:r/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1_1297"/>
              <w:rPr>
                <w:lang w:val="en-US"/>
              </w:rPr>
            </w:pPr>
            <w:r>
              <w:rPr>
                <w:lang w:val="en-US"/>
              </w:rPr>
              <w:t xml:space="preserve">IV</w:t>
            </w:r>
            <w:r>
              <w:t xml:space="preserve"> квартал 2024 года </w:t>
            </w:r>
            <w:r>
              <w:rPr>
                <w:lang w:val="en-US"/>
              </w:rPr>
            </w:r>
            <w:r/>
          </w:p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2154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1587" w:type="dxa"/>
            <w:textDirection w:val="lrTb"/>
            <w:noWrap w:val="false"/>
          </w:tcPr>
          <w:p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</w:tr>
    </w:tbl>
    <w:p>
      <w:pPr>
        <w:jc w:val="center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sectPr>
      <w:footnotePr/>
      <w:endnotePr/>
      <w:type w:val="nextPage"/>
      <w:pgSz w:w="16838" w:h="11906" w:orient="landscape"/>
      <w:pgMar w:top="567" w:right="680" w:bottom="567" w:left="567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6">
    <w:name w:val="Heading 1"/>
    <w:basedOn w:val="813"/>
    <w:next w:val="813"/>
    <w:link w:val="63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7">
    <w:name w:val="Heading 1 Char"/>
    <w:basedOn w:val="814"/>
    <w:link w:val="636"/>
    <w:uiPriority w:val="9"/>
    <w:rPr>
      <w:rFonts w:ascii="Arial" w:hAnsi="Arial" w:eastAsia="Arial" w:cs="Arial"/>
      <w:sz w:val="40"/>
      <w:szCs w:val="40"/>
    </w:rPr>
  </w:style>
  <w:style w:type="paragraph" w:styleId="638">
    <w:name w:val="Heading 2"/>
    <w:basedOn w:val="813"/>
    <w:next w:val="813"/>
    <w:link w:val="6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9">
    <w:name w:val="Heading 2 Char"/>
    <w:basedOn w:val="814"/>
    <w:link w:val="638"/>
    <w:uiPriority w:val="9"/>
    <w:rPr>
      <w:rFonts w:ascii="Arial" w:hAnsi="Arial" w:eastAsia="Arial" w:cs="Arial"/>
      <w:sz w:val="34"/>
    </w:rPr>
  </w:style>
  <w:style w:type="paragraph" w:styleId="640">
    <w:name w:val="Heading 3"/>
    <w:basedOn w:val="813"/>
    <w:next w:val="813"/>
    <w:link w:val="6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1">
    <w:name w:val="Heading 3 Char"/>
    <w:basedOn w:val="814"/>
    <w:link w:val="640"/>
    <w:uiPriority w:val="9"/>
    <w:rPr>
      <w:rFonts w:ascii="Arial" w:hAnsi="Arial" w:eastAsia="Arial" w:cs="Arial"/>
      <w:sz w:val="30"/>
      <w:szCs w:val="30"/>
    </w:rPr>
  </w:style>
  <w:style w:type="paragraph" w:styleId="642">
    <w:name w:val="Heading 4"/>
    <w:basedOn w:val="813"/>
    <w:next w:val="813"/>
    <w:link w:val="6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3">
    <w:name w:val="Heading 4 Char"/>
    <w:basedOn w:val="814"/>
    <w:link w:val="642"/>
    <w:uiPriority w:val="9"/>
    <w:rPr>
      <w:rFonts w:ascii="Arial" w:hAnsi="Arial" w:eastAsia="Arial" w:cs="Arial"/>
      <w:b/>
      <w:bCs/>
      <w:sz w:val="26"/>
      <w:szCs w:val="26"/>
    </w:rPr>
  </w:style>
  <w:style w:type="paragraph" w:styleId="644">
    <w:name w:val="Heading 5"/>
    <w:basedOn w:val="813"/>
    <w:next w:val="813"/>
    <w:link w:val="6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5">
    <w:name w:val="Heading 5 Char"/>
    <w:basedOn w:val="814"/>
    <w:link w:val="644"/>
    <w:uiPriority w:val="9"/>
    <w:rPr>
      <w:rFonts w:ascii="Arial" w:hAnsi="Arial" w:eastAsia="Arial" w:cs="Arial"/>
      <w:b/>
      <w:bCs/>
      <w:sz w:val="24"/>
      <w:szCs w:val="24"/>
    </w:rPr>
  </w:style>
  <w:style w:type="paragraph" w:styleId="646">
    <w:name w:val="Heading 6"/>
    <w:basedOn w:val="813"/>
    <w:next w:val="813"/>
    <w:link w:val="6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7">
    <w:name w:val="Heading 6 Char"/>
    <w:basedOn w:val="814"/>
    <w:link w:val="646"/>
    <w:uiPriority w:val="9"/>
    <w:rPr>
      <w:rFonts w:ascii="Arial" w:hAnsi="Arial" w:eastAsia="Arial" w:cs="Arial"/>
      <w:b/>
      <w:bCs/>
      <w:sz w:val="22"/>
      <w:szCs w:val="22"/>
    </w:rPr>
  </w:style>
  <w:style w:type="paragraph" w:styleId="648">
    <w:name w:val="Heading 7"/>
    <w:basedOn w:val="813"/>
    <w:next w:val="813"/>
    <w:link w:val="6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9">
    <w:name w:val="Heading 7 Char"/>
    <w:basedOn w:val="814"/>
    <w:link w:val="6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0">
    <w:name w:val="Heading 8"/>
    <w:basedOn w:val="813"/>
    <w:next w:val="813"/>
    <w:link w:val="6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1">
    <w:name w:val="Heading 8 Char"/>
    <w:basedOn w:val="814"/>
    <w:link w:val="650"/>
    <w:uiPriority w:val="9"/>
    <w:rPr>
      <w:rFonts w:ascii="Arial" w:hAnsi="Arial" w:eastAsia="Arial" w:cs="Arial"/>
      <w:i/>
      <w:iCs/>
      <w:sz w:val="22"/>
      <w:szCs w:val="22"/>
    </w:rPr>
  </w:style>
  <w:style w:type="paragraph" w:styleId="652">
    <w:name w:val="Heading 9"/>
    <w:basedOn w:val="813"/>
    <w:next w:val="813"/>
    <w:link w:val="6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3">
    <w:name w:val="Heading 9 Char"/>
    <w:basedOn w:val="814"/>
    <w:link w:val="652"/>
    <w:uiPriority w:val="9"/>
    <w:rPr>
      <w:rFonts w:ascii="Arial" w:hAnsi="Arial" w:eastAsia="Arial" w:cs="Arial"/>
      <w:i/>
      <w:iCs/>
      <w:sz w:val="21"/>
      <w:szCs w:val="21"/>
    </w:rPr>
  </w:style>
  <w:style w:type="paragraph" w:styleId="654">
    <w:name w:val="List Paragraph"/>
    <w:basedOn w:val="813"/>
    <w:uiPriority w:val="34"/>
    <w:qFormat/>
    <w:pPr>
      <w:contextualSpacing/>
      <w:ind w:left="720"/>
    </w:pPr>
  </w:style>
  <w:style w:type="paragraph" w:styleId="655">
    <w:name w:val="No Spacing"/>
    <w:uiPriority w:val="1"/>
    <w:qFormat/>
    <w:pPr>
      <w:spacing w:before="0" w:after="0" w:line="240" w:lineRule="auto"/>
    </w:pPr>
  </w:style>
  <w:style w:type="paragraph" w:styleId="656">
    <w:name w:val="Title"/>
    <w:basedOn w:val="813"/>
    <w:next w:val="813"/>
    <w:link w:val="6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7">
    <w:name w:val="Title Char"/>
    <w:basedOn w:val="814"/>
    <w:link w:val="656"/>
    <w:uiPriority w:val="10"/>
    <w:rPr>
      <w:sz w:val="48"/>
      <w:szCs w:val="48"/>
    </w:rPr>
  </w:style>
  <w:style w:type="paragraph" w:styleId="658">
    <w:name w:val="Subtitle"/>
    <w:basedOn w:val="813"/>
    <w:next w:val="813"/>
    <w:link w:val="659"/>
    <w:uiPriority w:val="11"/>
    <w:qFormat/>
    <w:pPr>
      <w:spacing w:before="200" w:after="200"/>
    </w:pPr>
    <w:rPr>
      <w:sz w:val="24"/>
      <w:szCs w:val="24"/>
    </w:rPr>
  </w:style>
  <w:style w:type="character" w:styleId="659">
    <w:name w:val="Subtitle Char"/>
    <w:basedOn w:val="814"/>
    <w:link w:val="658"/>
    <w:uiPriority w:val="11"/>
    <w:rPr>
      <w:sz w:val="24"/>
      <w:szCs w:val="24"/>
    </w:rPr>
  </w:style>
  <w:style w:type="paragraph" w:styleId="660">
    <w:name w:val="Quote"/>
    <w:basedOn w:val="813"/>
    <w:next w:val="813"/>
    <w:link w:val="661"/>
    <w:uiPriority w:val="29"/>
    <w:qFormat/>
    <w:pPr>
      <w:ind w:left="720" w:right="720"/>
    </w:pPr>
    <w:rPr>
      <w:i/>
    </w:rPr>
  </w:style>
  <w:style w:type="character" w:styleId="661">
    <w:name w:val="Quote Char"/>
    <w:link w:val="660"/>
    <w:uiPriority w:val="29"/>
    <w:rPr>
      <w:i/>
    </w:rPr>
  </w:style>
  <w:style w:type="paragraph" w:styleId="662">
    <w:name w:val="Intense Quote"/>
    <w:basedOn w:val="813"/>
    <w:next w:val="813"/>
    <w:link w:val="6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3">
    <w:name w:val="Intense Quote Char"/>
    <w:link w:val="662"/>
    <w:uiPriority w:val="30"/>
    <w:rPr>
      <w:i/>
    </w:rPr>
  </w:style>
  <w:style w:type="paragraph" w:styleId="664">
    <w:name w:val="Header"/>
    <w:basedOn w:val="813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Header Char"/>
    <w:basedOn w:val="814"/>
    <w:link w:val="664"/>
    <w:uiPriority w:val="99"/>
  </w:style>
  <w:style w:type="paragraph" w:styleId="666">
    <w:name w:val="Footer"/>
    <w:basedOn w:val="813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>
    <w:name w:val="Footer Char"/>
    <w:basedOn w:val="814"/>
    <w:link w:val="666"/>
    <w:uiPriority w:val="99"/>
  </w:style>
  <w:style w:type="paragraph" w:styleId="668">
    <w:name w:val="Caption"/>
    <w:basedOn w:val="813"/>
    <w:next w:val="81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9">
    <w:name w:val="Caption Char"/>
    <w:basedOn w:val="668"/>
    <w:link w:val="666"/>
    <w:uiPriority w:val="99"/>
  </w:style>
  <w:style w:type="table" w:styleId="670">
    <w:name w:val="Table Grid Light"/>
    <w:basedOn w:val="81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1">
    <w:name w:val="Plain Table 1"/>
    <w:basedOn w:val="81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2"/>
    <w:basedOn w:val="81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4">
    <w:name w:val="Plain Table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Plain Table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6">
    <w:name w:val="Grid Table 1 Light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4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8">
    <w:name w:val="Grid Table 4 - Accent 1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9">
    <w:name w:val="Grid Table 4 - Accent 2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0">
    <w:name w:val="Grid Table 4 - Accent 3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1">
    <w:name w:val="Grid Table 4 - Accent 4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2">
    <w:name w:val="Grid Table 4 - Accent 5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3">
    <w:name w:val="Grid Table 4 - Accent 6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4">
    <w:name w:val="Grid Table 5 Dark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08">
    <w:name w:val="Grid Table 5 Dark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11">
    <w:name w:val="Grid Table 6 Colorful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2">
    <w:name w:val="Grid Table 6 Colorful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3">
    <w:name w:val="Grid Table 6 Colorful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4">
    <w:name w:val="Grid Table 6 Colorful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5">
    <w:name w:val="Grid Table 6 Colorful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6">
    <w:name w:val="Grid Table 6 Colorful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6 Colorful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8">
    <w:name w:val="Grid Table 7 Colorful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3">
    <w:name w:val="List Table 2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4">
    <w:name w:val="List Table 2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5">
    <w:name w:val="List Table 2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6">
    <w:name w:val="List Table 2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7">
    <w:name w:val="List Table 2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8">
    <w:name w:val="List Table 2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9">
    <w:name w:val="List Table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5 Dark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6 Colorful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1">
    <w:name w:val="List Table 6 Colorful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2">
    <w:name w:val="List Table 6 Colorful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3">
    <w:name w:val="List Table 6 Colorful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4">
    <w:name w:val="List Table 6 Colorful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5">
    <w:name w:val="List Table 6 Colorful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6">
    <w:name w:val="List Table 6 Colorful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7">
    <w:name w:val="List Table 7 Colorful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8">
    <w:name w:val="List Table 7 Colorful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769">
    <w:name w:val="List Table 7 Colorful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70">
    <w:name w:val="List Table 7 Colorful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71">
    <w:name w:val="List Table 7 Colorful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72">
    <w:name w:val="List Table 7 Colorful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773">
    <w:name w:val="List Table 7 Colorful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74">
    <w:name w:val="Lined - Accent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5">
    <w:name w:val="Lined - Accent 1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76">
    <w:name w:val="Lined - Accent 2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77">
    <w:name w:val="Lined - Accent 3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78">
    <w:name w:val="Lined - Accent 4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79">
    <w:name w:val="Lined - Accent 5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780">
    <w:name w:val="Lined - Accent 6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1">
    <w:name w:val="Bordered &amp; Lined - Accent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Bordered &amp; Lined - Accent 1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83">
    <w:name w:val="Bordered &amp; Lined - Accent 2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4">
    <w:name w:val="Bordered &amp; Lined - Accent 3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5">
    <w:name w:val="Bordered &amp; Lined - Accent 4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6">
    <w:name w:val="Bordered &amp; Lined - Accent 5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787">
    <w:name w:val="Bordered &amp; Lined - Accent 6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8">
    <w:name w:val="Bordered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9">
    <w:name w:val="Bordered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0">
    <w:name w:val="Bordered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1">
    <w:name w:val="Bordered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2">
    <w:name w:val="Bordered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3">
    <w:name w:val="Bordered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4">
    <w:name w:val="Bordered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5">
    <w:name w:val="Hyperlink"/>
    <w:uiPriority w:val="99"/>
    <w:unhideWhenUsed/>
    <w:rPr>
      <w:color w:val="0000ff" w:themeColor="hyperlink"/>
      <w:u w:val="single"/>
    </w:rPr>
  </w:style>
  <w:style w:type="paragraph" w:styleId="796">
    <w:name w:val="footnote text"/>
    <w:basedOn w:val="813"/>
    <w:link w:val="797"/>
    <w:uiPriority w:val="99"/>
    <w:semiHidden/>
    <w:unhideWhenUsed/>
    <w:pPr>
      <w:spacing w:after="40" w:line="240" w:lineRule="auto"/>
    </w:pPr>
    <w:rPr>
      <w:sz w:val="18"/>
    </w:rPr>
  </w:style>
  <w:style w:type="character" w:styleId="797">
    <w:name w:val="Footnote Text Char"/>
    <w:link w:val="796"/>
    <w:uiPriority w:val="99"/>
    <w:rPr>
      <w:sz w:val="18"/>
    </w:rPr>
  </w:style>
  <w:style w:type="character" w:styleId="798">
    <w:name w:val="footnote reference"/>
    <w:basedOn w:val="814"/>
    <w:uiPriority w:val="99"/>
    <w:unhideWhenUsed/>
    <w:rPr>
      <w:vertAlign w:val="superscript"/>
    </w:rPr>
  </w:style>
  <w:style w:type="paragraph" w:styleId="799">
    <w:name w:val="endnote text"/>
    <w:basedOn w:val="813"/>
    <w:link w:val="800"/>
    <w:uiPriority w:val="99"/>
    <w:semiHidden/>
    <w:unhideWhenUsed/>
    <w:pPr>
      <w:spacing w:after="0" w:line="240" w:lineRule="auto"/>
    </w:pPr>
    <w:rPr>
      <w:sz w:val="20"/>
    </w:rPr>
  </w:style>
  <w:style w:type="character" w:styleId="800">
    <w:name w:val="Endnote Text Char"/>
    <w:link w:val="799"/>
    <w:uiPriority w:val="99"/>
    <w:rPr>
      <w:sz w:val="20"/>
    </w:rPr>
  </w:style>
  <w:style w:type="character" w:styleId="801">
    <w:name w:val="endnote reference"/>
    <w:basedOn w:val="814"/>
    <w:uiPriority w:val="99"/>
    <w:semiHidden/>
    <w:unhideWhenUsed/>
    <w:rPr>
      <w:vertAlign w:val="superscript"/>
    </w:rPr>
  </w:style>
  <w:style w:type="paragraph" w:styleId="802">
    <w:name w:val="toc 1"/>
    <w:basedOn w:val="813"/>
    <w:next w:val="813"/>
    <w:uiPriority w:val="39"/>
    <w:unhideWhenUsed/>
    <w:pPr>
      <w:ind w:left="0" w:right="0" w:firstLine="0"/>
      <w:spacing w:after="57"/>
    </w:pPr>
  </w:style>
  <w:style w:type="paragraph" w:styleId="803">
    <w:name w:val="toc 2"/>
    <w:basedOn w:val="813"/>
    <w:next w:val="813"/>
    <w:uiPriority w:val="39"/>
    <w:unhideWhenUsed/>
    <w:pPr>
      <w:ind w:left="283" w:right="0" w:firstLine="0"/>
      <w:spacing w:after="57"/>
    </w:pPr>
  </w:style>
  <w:style w:type="paragraph" w:styleId="804">
    <w:name w:val="toc 3"/>
    <w:basedOn w:val="813"/>
    <w:next w:val="813"/>
    <w:uiPriority w:val="39"/>
    <w:unhideWhenUsed/>
    <w:pPr>
      <w:ind w:left="567" w:right="0" w:firstLine="0"/>
      <w:spacing w:after="57"/>
    </w:pPr>
  </w:style>
  <w:style w:type="paragraph" w:styleId="805">
    <w:name w:val="toc 4"/>
    <w:basedOn w:val="813"/>
    <w:next w:val="813"/>
    <w:uiPriority w:val="39"/>
    <w:unhideWhenUsed/>
    <w:pPr>
      <w:ind w:left="850" w:right="0" w:firstLine="0"/>
      <w:spacing w:after="57"/>
    </w:pPr>
  </w:style>
  <w:style w:type="paragraph" w:styleId="806">
    <w:name w:val="toc 5"/>
    <w:basedOn w:val="813"/>
    <w:next w:val="813"/>
    <w:uiPriority w:val="39"/>
    <w:unhideWhenUsed/>
    <w:pPr>
      <w:ind w:left="1134" w:right="0" w:firstLine="0"/>
      <w:spacing w:after="57"/>
    </w:pPr>
  </w:style>
  <w:style w:type="paragraph" w:styleId="807">
    <w:name w:val="toc 6"/>
    <w:basedOn w:val="813"/>
    <w:next w:val="813"/>
    <w:uiPriority w:val="39"/>
    <w:unhideWhenUsed/>
    <w:pPr>
      <w:ind w:left="1417" w:right="0" w:firstLine="0"/>
      <w:spacing w:after="57"/>
    </w:pPr>
  </w:style>
  <w:style w:type="paragraph" w:styleId="808">
    <w:name w:val="toc 7"/>
    <w:basedOn w:val="813"/>
    <w:next w:val="813"/>
    <w:uiPriority w:val="39"/>
    <w:unhideWhenUsed/>
    <w:pPr>
      <w:ind w:left="1701" w:right="0" w:firstLine="0"/>
      <w:spacing w:after="57"/>
    </w:pPr>
  </w:style>
  <w:style w:type="paragraph" w:styleId="809">
    <w:name w:val="toc 8"/>
    <w:basedOn w:val="813"/>
    <w:next w:val="813"/>
    <w:uiPriority w:val="39"/>
    <w:unhideWhenUsed/>
    <w:pPr>
      <w:ind w:left="1984" w:right="0" w:firstLine="0"/>
      <w:spacing w:after="57"/>
    </w:pPr>
  </w:style>
  <w:style w:type="paragraph" w:styleId="810">
    <w:name w:val="toc 9"/>
    <w:basedOn w:val="813"/>
    <w:next w:val="813"/>
    <w:uiPriority w:val="39"/>
    <w:unhideWhenUsed/>
    <w:pPr>
      <w:ind w:left="2268" w:right="0" w:firstLine="0"/>
      <w:spacing w:after="57"/>
    </w:pPr>
  </w:style>
  <w:style w:type="paragraph" w:styleId="811">
    <w:name w:val="TOC Heading"/>
    <w:uiPriority w:val="39"/>
    <w:unhideWhenUsed/>
  </w:style>
  <w:style w:type="paragraph" w:styleId="812">
    <w:name w:val="table of figures"/>
    <w:basedOn w:val="813"/>
    <w:next w:val="813"/>
    <w:uiPriority w:val="99"/>
    <w:unhideWhenUsed/>
    <w:pPr>
      <w:spacing w:after="0" w:afterAutospacing="0"/>
    </w:pPr>
  </w:style>
  <w:style w:type="paragraph" w:styleId="813" w:default="1">
    <w:name w:val="Normal"/>
    <w:qFormat/>
  </w:style>
  <w:style w:type="character" w:styleId="814" w:default="1">
    <w:name w:val="Default Paragraph Font"/>
    <w:uiPriority w:val="1"/>
    <w:semiHidden/>
    <w:unhideWhenUsed/>
  </w:style>
  <w:style w:type="table" w:styleId="81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6" w:default="1">
    <w:name w:val="No List"/>
    <w:uiPriority w:val="99"/>
    <w:semiHidden/>
    <w:unhideWhenUsed/>
  </w:style>
  <w:style w:type="table" w:styleId="817">
    <w:name w:val="Table Grid"/>
    <w:basedOn w:val="815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_1297" w:customStyle="1">
    <w:name w:val="ConsPlus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cs="Times New Roman" w:eastAsiaTheme="minorEastAsi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Р7-Офис/7.3.3.220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NOVY</dc:creator>
  <cp:keywords/>
  <dc:description/>
  <cp:revision>45</cp:revision>
  <dcterms:created xsi:type="dcterms:W3CDTF">2023-03-15T11:17:00Z</dcterms:created>
  <dcterms:modified xsi:type="dcterms:W3CDTF">2023-11-08T06:53:27Z</dcterms:modified>
</cp:coreProperties>
</file>